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37" w:rsidRPr="00271B37" w:rsidRDefault="00271B37" w:rsidP="00271B37">
      <w:pPr>
        <w:pStyle w:val="20"/>
        <w:shd w:val="clear" w:color="auto" w:fill="auto"/>
        <w:tabs>
          <w:tab w:val="left" w:pos="1063"/>
        </w:tabs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w:drawing>
          <wp:inline distT="0" distB="0" distL="0" distR="0">
            <wp:extent cx="6557467" cy="10161953"/>
            <wp:effectExtent l="19050" t="0" r="0" b="0"/>
            <wp:docPr id="1" name="Рисунок 1" descr="E:\порядок и основания перевода , отчисления и восстоновления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рядок и основания перевода , отчисления и восстоновления обу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182" cy="101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1D" w:rsidRPr="00342F1D" w:rsidRDefault="00342F1D" w:rsidP="00271B37">
      <w:pPr>
        <w:pStyle w:val="a7"/>
        <w:spacing w:before="0" w:beforeAutospacing="0" w:after="0" w:afterAutospacing="0"/>
        <w:ind w:left="8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3,2.</w:t>
      </w:r>
      <w:r w:rsidR="00342F1D" w:rsidRPr="00271B37">
        <w:rPr>
          <w:rFonts w:ascii="Times New Roman" w:hAnsi="Times New Roman" w:cs="Times New Roman"/>
        </w:rPr>
        <w:t> Перевод обучающихся в следующий класс, в том числе условно, осуществляется по решению педагогического совета школы.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3,3.</w:t>
      </w:r>
      <w:r w:rsidR="00342F1D" w:rsidRPr="00271B37">
        <w:rPr>
          <w:rFonts w:ascii="Times New Roman" w:hAnsi="Times New Roman" w:cs="Times New Roman"/>
        </w:rPr>
        <w:t> 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342F1D" w:rsidRPr="00271B37">
        <w:rPr>
          <w:rFonts w:ascii="Times New Roman" w:hAnsi="Times New Roman" w:cs="Times New Roman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="00342F1D" w:rsidRPr="00271B37">
        <w:rPr>
          <w:rFonts w:ascii="Times New Roman" w:hAnsi="Times New Roman" w:cs="Times New Roman"/>
        </w:rPr>
        <w:t>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3,6.</w:t>
      </w:r>
      <w:r w:rsidR="00342F1D" w:rsidRPr="00271B37">
        <w:rPr>
          <w:rFonts w:ascii="Times New Roman" w:hAnsi="Times New Roman" w:cs="Times New Roman"/>
        </w:rPr>
        <w:t> 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271B37" w:rsidRDefault="00342F1D" w:rsidP="00271B37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</w:rPr>
      </w:pPr>
      <w:r w:rsidRPr="00271B37">
        <w:rPr>
          <w:rFonts w:ascii="Times New Roman" w:hAnsi="Times New Roman" w:cs="Times New Roman"/>
          <w:b/>
          <w:bCs/>
        </w:rPr>
        <w:t>Организация повторного обучения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342F1D" w:rsidRPr="00271B37">
        <w:rPr>
          <w:rFonts w:ascii="Times New Roman" w:hAnsi="Times New Roman" w:cs="Times New Roman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а) фамилия, имя, отчество (при наличии)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б) год рождения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в) класс обучения;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342F1D" w:rsidRPr="00271B37">
        <w:rPr>
          <w:rFonts w:ascii="Times New Roman" w:hAnsi="Times New Roman" w:cs="Times New Roman"/>
        </w:rPr>
        <w:t>Заявление о повторном обучении подается в канцелярию школы.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342F1D" w:rsidRPr="00271B37">
        <w:rPr>
          <w:rFonts w:ascii="Times New Roman" w:hAnsi="Times New Roman" w:cs="Times New Roman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342F1D" w:rsidRPr="00271B37" w:rsidRDefault="00271B37" w:rsidP="00271B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342F1D" w:rsidRPr="00271B37">
        <w:rPr>
          <w:rFonts w:ascii="Times New Roman" w:hAnsi="Times New Roman" w:cs="Times New Roman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8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271B37" w:rsidRDefault="00342F1D" w:rsidP="00271B37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lang w:val="ru-RU"/>
        </w:rPr>
      </w:pPr>
      <w:r w:rsidRPr="00271B37">
        <w:rPr>
          <w:rFonts w:ascii="Times New Roman" w:hAnsi="Times New Roman" w:cs="Times New Roman"/>
          <w:b/>
          <w:bCs/>
          <w:lang w:val="ru-RU"/>
        </w:rPr>
        <w:t>Перевод на обучение по адаптированной образовательной программе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271B37" w:rsidRDefault="00342F1D" w:rsidP="00271B37">
      <w:pPr>
        <w:pStyle w:val="a7"/>
        <w:numPr>
          <w:ilvl w:val="1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271B37">
        <w:rPr>
          <w:rFonts w:ascii="Times New Roman" w:hAnsi="Times New Roman" w:cs="Times New Roman"/>
          <w:lang w:val="ru-RU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 w:rsidRPr="00271B37">
        <w:rPr>
          <w:rFonts w:ascii="Times New Roman" w:hAnsi="Times New Roman" w:cs="Times New Roman"/>
        </w:rPr>
        <w:t> </w:t>
      </w:r>
      <w:r w:rsidRPr="00271B37">
        <w:rPr>
          <w:rFonts w:ascii="Times New Roman" w:hAnsi="Times New Roman" w:cs="Times New Roman"/>
          <w:lang w:val="ru-RU"/>
        </w:rPr>
        <w:t>– ПМПК).</w:t>
      </w:r>
    </w:p>
    <w:p w:rsidR="00342F1D" w:rsidRPr="00271B37" w:rsidRDefault="00342F1D" w:rsidP="00271B37">
      <w:pPr>
        <w:pStyle w:val="a7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271B37">
        <w:rPr>
          <w:rFonts w:ascii="Times New Roman" w:hAnsi="Times New Roman" w:cs="Times New Roman"/>
        </w:rPr>
        <w:t> В заявлении родителей (законных представителей) указываются: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а) фамилия, имя, отчество (при наличии)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б) год рождения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в) класс обучения;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д) форма обучения;</w:t>
      </w:r>
    </w:p>
    <w:p w:rsidR="00342F1D" w:rsidRPr="00342F1D" w:rsidRDefault="00342F1D" w:rsidP="00342F1D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е)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Заявление о переводе на обучение по адаптированной образовательной программе вместе с рекомендациями ПМПК подается в канцелярию школы.</w:t>
      </w: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8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342F1D" w:rsidRDefault="00342F1D" w:rsidP="00271B37">
      <w:pPr>
        <w:pStyle w:val="a7"/>
        <w:numPr>
          <w:ilvl w:val="0"/>
          <w:numId w:val="1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Pr="00342F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2F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342F1D" w:rsidRPr="00342F1D" w:rsidRDefault="00342F1D" w:rsidP="00342F1D">
      <w:pPr>
        <w:widowControl/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 по инициативе совершеннолетнего обучающегося или родителей (законных представителей) несовершеннолетнего обучающегося;</w:t>
      </w:r>
    </w:p>
    <w:p w:rsidR="00342F1D" w:rsidRPr="00342F1D" w:rsidRDefault="00342F1D" w:rsidP="00342F1D">
      <w:pPr>
        <w:widowControl/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 в случае прекращения деятельности школы, аннулирования лицензии на осуществление образовательной деятельности, лишения школы гос.аккредитации полностью или по образовательной программе;</w:t>
      </w:r>
    </w:p>
    <w:p w:rsidR="00342F1D" w:rsidRPr="00342F1D" w:rsidRDefault="00342F1D" w:rsidP="00342F1D">
      <w:pPr>
        <w:widowControl/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 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Pr="00342F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342F1D" w:rsidRPr="00342F1D" w:rsidRDefault="00342F1D" w:rsidP="00271B37">
      <w:pPr>
        <w:pStyle w:val="a7"/>
        <w:numPr>
          <w:ilvl w:val="1"/>
          <w:numId w:val="18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858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342F1D" w:rsidRDefault="00342F1D" w:rsidP="00342F1D">
      <w:pPr>
        <w:pStyle w:val="a7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а) в связи с получением образования (завершением обучения);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б) досрочно по основаниям, установленным законом.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1152" w:firstLine="28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а) фамилия, имя, отчество (при наличии)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б) год рождения обучающегося;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в) класс обучения;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г) дата отчисления в связи с изменением формы получения образования.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отчислении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изменением формы получения образования подается в канцелярию школы.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7.3, 7.3.1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школы.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342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 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42F1D" w:rsidRPr="00342F1D" w:rsidRDefault="00342F1D" w:rsidP="00342F1D">
      <w:pPr>
        <w:pStyle w:val="a7"/>
        <w:numPr>
          <w:ilvl w:val="2"/>
          <w:numId w:val="15"/>
        </w:numPr>
        <w:spacing w:before="0" w:beforeAutospacing="0" w:after="0" w:afterAutospacing="0"/>
        <w:ind w:left="142"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</w:t>
      </w:r>
      <w:r w:rsidRPr="00342F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Издание приказа об отчислении осуществляется в порядке, предусмотренном в пункте 7.3.5 настоящего порядка.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7.3.13. 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7.3.14.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7.3.15.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При отказе или уклонении родителей (законных представителей) от ознакомления с</w:t>
      </w:r>
      <w:r w:rsidRPr="00342F1D">
        <w:rPr>
          <w:rFonts w:ascii="Times New Roman" w:hAnsi="Times New Roman" w:cs="Times New Roman"/>
        </w:rPr>
        <w:br/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7.4. Экстерн, прошедший промежуточную аттестацию, отчисляется из школы со справкой.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7.5. 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</w:p>
    <w:p w:rsidR="00342F1D" w:rsidRPr="00342F1D" w:rsidRDefault="00342F1D" w:rsidP="00342F1D">
      <w:pPr>
        <w:pStyle w:val="a7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Восстановление обучающихся 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имеют право на восстановление в учреждение  при наличии вакантных мест. 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Порядок и условия восстановления на обучение лица, отчисленного ранее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Федерации, Уставом учреждения. 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обучающегося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в учреждение. 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>Восстановление обучающихся производится независимо от причин отчисления и срока перерыва в учебе, при условии ликвидации академической задолженности (при наличии) в установленный срок.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лица осуществляется приказом директора учреждения на основании личного заявления родителей (законных представителей) о восстановлении в составе обучающихся. </w:t>
      </w:r>
    </w:p>
    <w:p w:rsidR="00342F1D" w:rsidRPr="00342F1D" w:rsidRDefault="00342F1D" w:rsidP="00342F1D">
      <w:pPr>
        <w:pStyle w:val="a7"/>
        <w:numPr>
          <w:ilvl w:val="1"/>
          <w:numId w:val="15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Обучающимся, восстановленным в образовательном учреждении и успешно прошедшим государственную итоговую аттестацию, выдается  государственный документ об образовании.</w:t>
      </w:r>
    </w:p>
    <w:p w:rsidR="00342F1D" w:rsidRPr="00342F1D" w:rsidRDefault="00342F1D" w:rsidP="00342F1D">
      <w:pPr>
        <w:pStyle w:val="a7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2F1D" w:rsidRPr="00342F1D" w:rsidRDefault="00342F1D" w:rsidP="00342F1D">
      <w:pPr>
        <w:pStyle w:val="a7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F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Заключительные положения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 xml:space="preserve">9.1. Настоящий Порядок и основания перевода, отчисления </w:t>
      </w:r>
      <w:r w:rsidRPr="00342F1D">
        <w:rPr>
          <w:rFonts w:ascii="Times New Roman" w:hAnsi="Times New Roman" w:cs="Times New Roman"/>
          <w:bCs/>
        </w:rPr>
        <w:t>и восстановления</w:t>
      </w:r>
      <w:r w:rsidRPr="00342F1D">
        <w:rPr>
          <w:rFonts w:ascii="Times New Roman" w:hAnsi="Times New Roman" w:cs="Times New Roman"/>
          <w:b/>
          <w:bCs/>
        </w:rPr>
        <w:t xml:space="preserve"> </w:t>
      </w:r>
      <w:r w:rsidRPr="00342F1D">
        <w:rPr>
          <w:rFonts w:ascii="Times New Roman" w:hAnsi="Times New Roman" w:cs="Times New Roman"/>
        </w:rPr>
        <w:t>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9.2. 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 xml:space="preserve">9.3. Порядок и основания перевода, отчисления </w:t>
      </w:r>
      <w:r w:rsidRPr="00342F1D">
        <w:rPr>
          <w:rFonts w:ascii="Times New Roman" w:hAnsi="Times New Roman" w:cs="Times New Roman"/>
          <w:bCs/>
        </w:rPr>
        <w:t>и восстановления</w:t>
      </w:r>
      <w:r w:rsidRPr="00342F1D">
        <w:rPr>
          <w:rFonts w:ascii="Times New Roman" w:hAnsi="Times New Roman" w:cs="Times New Roman"/>
          <w:b/>
          <w:bCs/>
        </w:rPr>
        <w:t xml:space="preserve"> </w:t>
      </w:r>
      <w:r w:rsidRPr="00342F1D">
        <w:rPr>
          <w:rFonts w:ascii="Times New Roman" w:hAnsi="Times New Roman" w:cs="Times New Roman"/>
        </w:rPr>
        <w:t>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342F1D" w:rsidRPr="00342F1D" w:rsidRDefault="00342F1D" w:rsidP="00342F1D">
      <w:pPr>
        <w:jc w:val="both"/>
        <w:rPr>
          <w:rFonts w:ascii="Times New Roman" w:hAnsi="Times New Roman" w:cs="Times New Roman"/>
        </w:rPr>
      </w:pPr>
      <w:r w:rsidRPr="00342F1D">
        <w:rPr>
          <w:rFonts w:ascii="Times New Roman" w:hAnsi="Times New Roman" w:cs="Times New Roman"/>
        </w:rPr>
        <w:t>9.4. После принятия По</w:t>
      </w:r>
      <w:r w:rsidR="00DA2292">
        <w:rPr>
          <w:rFonts w:ascii="Times New Roman" w:hAnsi="Times New Roman" w:cs="Times New Roman"/>
        </w:rPr>
        <w:t>рядка</w:t>
      </w:r>
      <w:r w:rsidRPr="00342F1D">
        <w:rPr>
          <w:rFonts w:ascii="Times New Roman" w:hAnsi="Times New Roman" w:cs="Times New Roman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42F1D" w:rsidRPr="00342F1D" w:rsidSect="00380A1B">
      <w:pgSz w:w="11900" w:h="16840"/>
      <w:pgMar w:top="360" w:right="701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77" w:rsidRDefault="001B2177" w:rsidP="00221ADB">
      <w:r>
        <w:separator/>
      </w:r>
    </w:p>
  </w:endnote>
  <w:endnote w:type="continuationSeparator" w:id="0">
    <w:p w:rsidR="001B2177" w:rsidRDefault="001B2177" w:rsidP="0022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77" w:rsidRDefault="001B2177"/>
  </w:footnote>
  <w:footnote w:type="continuationSeparator" w:id="0">
    <w:p w:rsidR="001B2177" w:rsidRDefault="001B21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E51"/>
    <w:multiLevelType w:val="multilevel"/>
    <w:tmpl w:val="81E6F8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04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F1683"/>
    <w:multiLevelType w:val="multilevel"/>
    <w:tmpl w:val="C52CC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A5E06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B9372E"/>
    <w:multiLevelType w:val="multilevel"/>
    <w:tmpl w:val="33EC69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14553"/>
    <w:multiLevelType w:val="multilevel"/>
    <w:tmpl w:val="811CA7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1073A"/>
    <w:multiLevelType w:val="multilevel"/>
    <w:tmpl w:val="A336FE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7">
    <w:nsid w:val="38BB1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4F1D5C"/>
    <w:multiLevelType w:val="multilevel"/>
    <w:tmpl w:val="86D89D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F45EA"/>
    <w:multiLevelType w:val="multilevel"/>
    <w:tmpl w:val="D9E2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F85A17"/>
    <w:multiLevelType w:val="multilevel"/>
    <w:tmpl w:val="1C08E3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1">
    <w:nsid w:val="608923C9"/>
    <w:multiLevelType w:val="multilevel"/>
    <w:tmpl w:val="14901C2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62727"/>
    <w:multiLevelType w:val="multilevel"/>
    <w:tmpl w:val="8CCE5D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A65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60BC7"/>
    <w:multiLevelType w:val="hybridMultilevel"/>
    <w:tmpl w:val="04B0482E"/>
    <w:lvl w:ilvl="0" w:tplc="635EA6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F3758A6"/>
    <w:multiLevelType w:val="hybridMultilevel"/>
    <w:tmpl w:val="6D2222F2"/>
    <w:lvl w:ilvl="0" w:tplc="EE3AB9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4125F"/>
    <w:multiLevelType w:val="multilevel"/>
    <w:tmpl w:val="ACB8B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>
    <w:nsid w:val="74ED7390"/>
    <w:multiLevelType w:val="multilevel"/>
    <w:tmpl w:val="81E6F8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1ADB"/>
    <w:rsid w:val="000A6645"/>
    <w:rsid w:val="00113597"/>
    <w:rsid w:val="00123C23"/>
    <w:rsid w:val="001B2177"/>
    <w:rsid w:val="001E16E6"/>
    <w:rsid w:val="00221ADB"/>
    <w:rsid w:val="00245D14"/>
    <w:rsid w:val="00250DCD"/>
    <w:rsid w:val="00271B37"/>
    <w:rsid w:val="002D278B"/>
    <w:rsid w:val="0030639D"/>
    <w:rsid w:val="00342F1D"/>
    <w:rsid w:val="00380A1B"/>
    <w:rsid w:val="0042205A"/>
    <w:rsid w:val="00650C0D"/>
    <w:rsid w:val="00703989"/>
    <w:rsid w:val="007171A3"/>
    <w:rsid w:val="00733D9D"/>
    <w:rsid w:val="00764A54"/>
    <w:rsid w:val="00780013"/>
    <w:rsid w:val="007A5AD5"/>
    <w:rsid w:val="007C1E2B"/>
    <w:rsid w:val="007D461D"/>
    <w:rsid w:val="007E52FB"/>
    <w:rsid w:val="007F7353"/>
    <w:rsid w:val="008B776E"/>
    <w:rsid w:val="008D653D"/>
    <w:rsid w:val="008E2A60"/>
    <w:rsid w:val="009F566A"/>
    <w:rsid w:val="00A145A4"/>
    <w:rsid w:val="00A33F04"/>
    <w:rsid w:val="00A72EB0"/>
    <w:rsid w:val="00AF0DC5"/>
    <w:rsid w:val="00B01B1D"/>
    <w:rsid w:val="00B12DE6"/>
    <w:rsid w:val="00B203FA"/>
    <w:rsid w:val="00B72C50"/>
    <w:rsid w:val="00BA04FA"/>
    <w:rsid w:val="00BC5A8B"/>
    <w:rsid w:val="00C645D8"/>
    <w:rsid w:val="00C94899"/>
    <w:rsid w:val="00CA3228"/>
    <w:rsid w:val="00DA2292"/>
    <w:rsid w:val="00DE45DF"/>
    <w:rsid w:val="00E937EB"/>
    <w:rsid w:val="00EA3DED"/>
    <w:rsid w:val="00EE3E3F"/>
    <w:rsid w:val="00FA157A"/>
    <w:rsid w:val="00FB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A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1AD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1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221ADB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Heavy95pt0pt">
    <w:name w:val="Основной текст (2) + Franklin Gothic Heavy;9;5 pt;Полужирный;Интервал 0 pt"/>
    <w:basedOn w:val="2"/>
    <w:rsid w:val="00221ADB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Candara9pt0pt">
    <w:name w:val="Основной текст (2) + Candara;9 pt;Полужирный;Интервал 0 pt"/>
    <w:basedOn w:val="2"/>
    <w:rsid w:val="00221ADB"/>
    <w:rPr>
      <w:rFonts w:ascii="Candara" w:eastAsia="Candara" w:hAnsi="Candara" w:cs="Candara"/>
      <w:b/>
      <w:b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FranklinGothicHeavy95pt0pt0">
    <w:name w:val="Основной текст (2) + Franklin Gothic Heavy;9;5 pt;Полужирный;Интервал 0 pt"/>
    <w:basedOn w:val="2"/>
    <w:rsid w:val="00221ADB"/>
    <w:rPr>
      <w:rFonts w:ascii="Franklin Gothic Heavy" w:eastAsia="Franklin Gothic Heavy" w:hAnsi="Franklin Gothic Heavy" w:cs="Franklin Gothic Heavy"/>
      <w:b/>
      <w:bCs/>
      <w:strike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"/>
    <w:rsid w:val="00221ADB"/>
    <w:rPr>
      <w:b/>
      <w:bCs/>
      <w:color w:val="000000"/>
      <w:spacing w:val="-2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21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Полужирный"/>
    <w:basedOn w:val="2"/>
    <w:rsid w:val="00221A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221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ylfaen115pt">
    <w:name w:val="Другое + Sylfaen;11;5 pt;Курсив"/>
    <w:basedOn w:val="a4"/>
    <w:rsid w:val="00221AD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221ADB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21A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rsid w:val="00221AD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No Spacing"/>
    <w:uiPriority w:val="1"/>
    <w:qFormat/>
    <w:rsid w:val="00342F1D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7">
    <w:name w:val="List Paragraph"/>
    <w:basedOn w:val="a"/>
    <w:uiPriority w:val="34"/>
    <w:qFormat/>
    <w:rsid w:val="00342F1D"/>
    <w:pPr>
      <w:widowControl/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71B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B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</dc:creator>
  <cp:lastModifiedBy>пк</cp:lastModifiedBy>
  <cp:revision>6</cp:revision>
  <cp:lastPrinted>2021-04-04T07:59:00Z</cp:lastPrinted>
  <dcterms:created xsi:type="dcterms:W3CDTF">2021-10-19T11:48:00Z</dcterms:created>
  <dcterms:modified xsi:type="dcterms:W3CDTF">2021-10-20T03:12:00Z</dcterms:modified>
</cp:coreProperties>
</file>